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  <w:lang w:val="en-GB" w:eastAsia="en-GB"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4DDAE596" w14:textId="77777777" w:rsidR="008373E0" w:rsidRDefault="008373E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8373E0">
        <w:rPr>
          <w:rFonts w:eastAsia="Calibri" w:cs="Arial"/>
          <w:b/>
          <w:sz w:val="28"/>
          <w:szCs w:val="28"/>
          <w:lang w:val="en-GB"/>
        </w:rPr>
        <w:t xml:space="preserve">Ministry of Agriculture, Forestry and Water Management </w:t>
      </w:r>
    </w:p>
    <w:p w14:paraId="4D180805" w14:textId="372494E4" w:rsidR="00EA2AB4" w:rsidRDefault="008373E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8373E0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373E0">
        <w:rPr>
          <w:rFonts w:eastAsia="Calibri" w:cs="Arial"/>
          <w:b/>
          <w:sz w:val="28"/>
          <w:szCs w:val="28"/>
          <w:lang w:val="en-GB"/>
        </w:rPr>
        <w:tab/>
      </w:r>
    </w:p>
    <w:p w14:paraId="2D734971" w14:textId="77777777" w:rsidR="008373E0" w:rsidRPr="00B004A0" w:rsidRDefault="008373E0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</w:p>
    <w:p w14:paraId="1CB4F800" w14:textId="2ED01E8B" w:rsidR="00B004A0" w:rsidRPr="00A8611E" w:rsidRDefault="008373E0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Quotations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>)</w:t>
      </w:r>
    </w:p>
    <w:p w14:paraId="1BD46EAF" w14:textId="3FA6EE5D" w:rsidR="005D056A" w:rsidRDefault="005D056A" w:rsidP="005D056A">
      <w:pPr>
        <w:autoSpaceDN/>
        <w:spacing w:before="60" w:after="60"/>
        <w:jc w:val="center"/>
        <w:textAlignment w:val="auto"/>
        <w:rPr>
          <w:b/>
          <w:color w:val="000000"/>
          <w:sz w:val="28"/>
          <w:szCs w:val="28"/>
        </w:rPr>
      </w:pPr>
      <w:r w:rsidRPr="005D056A">
        <w:rPr>
          <w:b/>
          <w:color w:val="000000"/>
          <w:sz w:val="28"/>
          <w:szCs w:val="28"/>
        </w:rPr>
        <w:t>Procurement of</w:t>
      </w:r>
    </w:p>
    <w:p w14:paraId="636285F5" w14:textId="0A7AB33B" w:rsidR="008373E0" w:rsidRDefault="008373E0" w:rsidP="00A20F08">
      <w:pPr>
        <w:autoSpaceDN/>
        <w:spacing w:after="0"/>
        <w:jc w:val="center"/>
        <w:textAlignment w:val="auto"/>
        <w:rPr>
          <w:b/>
          <w:color w:val="000000"/>
          <w:sz w:val="28"/>
          <w:szCs w:val="28"/>
        </w:rPr>
      </w:pPr>
      <w:r w:rsidRPr="008373E0">
        <w:rPr>
          <w:b/>
          <w:color w:val="000000"/>
          <w:sz w:val="28"/>
          <w:szCs w:val="28"/>
        </w:rPr>
        <w:t>Laboratory equipment for National Seed testing laboratory and National Referent Phytosanitary Laboratory</w:t>
      </w:r>
    </w:p>
    <w:p w14:paraId="59C32E7D" w14:textId="77777777" w:rsidR="008373E0" w:rsidRDefault="008373E0" w:rsidP="00B004A0">
      <w:pPr>
        <w:autoSpaceDN/>
        <w:spacing w:after="0"/>
        <w:textAlignment w:val="auto"/>
        <w:rPr>
          <w:b/>
          <w:color w:val="000000"/>
          <w:sz w:val="28"/>
          <w:szCs w:val="28"/>
        </w:rPr>
      </w:pPr>
    </w:p>
    <w:p w14:paraId="14560370" w14:textId="55B9F39A" w:rsidR="00B004A0" w:rsidRPr="00B004A0" w:rsidRDefault="00B004A0" w:rsidP="00B004A0">
      <w:pPr>
        <w:autoSpaceDN/>
        <w:spacing w:after="0"/>
        <w:textAlignment w:val="auto"/>
        <w:rPr>
          <w:color w:val="000000"/>
        </w:rPr>
      </w:pPr>
      <w:r w:rsidRPr="00B004A0">
        <w:rPr>
          <w:b/>
          <w:color w:val="000000"/>
        </w:rPr>
        <w:t>Country: Montenegro</w:t>
      </w:r>
    </w:p>
    <w:p w14:paraId="42CEA838" w14:textId="47AE8A74" w:rsidR="00B004A0" w:rsidRPr="00B004A0" w:rsidRDefault="00B004A0" w:rsidP="00B004A0">
      <w:pPr>
        <w:autoSpaceDN/>
        <w:spacing w:after="0"/>
        <w:textAlignment w:val="auto"/>
        <w:rPr>
          <w:color w:val="000000"/>
        </w:rPr>
      </w:pPr>
      <w:r w:rsidRPr="00B004A0">
        <w:rPr>
          <w:b/>
          <w:noProof/>
          <w:color w:val="000000"/>
        </w:rPr>
        <w:t>Loan</w:t>
      </w:r>
      <w:r w:rsidR="00EA2AB4">
        <w:rPr>
          <w:b/>
          <w:noProof/>
          <w:color w:val="000000"/>
        </w:rPr>
        <w:t xml:space="preserve"> No</w:t>
      </w:r>
      <w:r w:rsidRPr="00B004A0">
        <w:rPr>
          <w:b/>
          <w:noProof/>
          <w:color w:val="000000"/>
        </w:rPr>
        <w:t xml:space="preserve">: </w:t>
      </w:r>
      <w:r w:rsidR="00A20F08" w:rsidRPr="00021FE8">
        <w:rPr>
          <w:b/>
          <w:szCs w:val="22"/>
        </w:rPr>
        <w:t>8820</w:t>
      </w:r>
      <w:r w:rsidR="00A20F08">
        <w:rPr>
          <w:b/>
          <w:szCs w:val="22"/>
        </w:rPr>
        <w:t>.ME</w:t>
      </w:r>
    </w:p>
    <w:p w14:paraId="1D83B57B" w14:textId="70DAFA7E" w:rsidR="008D2266" w:rsidRDefault="00B004A0" w:rsidP="00B004A0">
      <w:pPr>
        <w:autoSpaceDN/>
        <w:spacing w:after="0"/>
        <w:textAlignment w:val="auto"/>
        <w:rPr>
          <w:b/>
          <w:color w:val="000000"/>
        </w:rPr>
      </w:pPr>
      <w:r w:rsidRPr="00B004A0">
        <w:rPr>
          <w:b/>
          <w:color w:val="000000"/>
        </w:rPr>
        <w:t xml:space="preserve">RFB No: </w:t>
      </w:r>
      <w:r w:rsidR="008373E0" w:rsidRPr="00021FE8">
        <w:rPr>
          <w:b/>
          <w:szCs w:val="22"/>
        </w:rPr>
        <w:t>MNE-MIDAS2-8820-ME-</w:t>
      </w:r>
      <w:r w:rsidR="008373E0">
        <w:rPr>
          <w:b/>
          <w:szCs w:val="22"/>
        </w:rPr>
        <w:t>RFQ</w:t>
      </w:r>
      <w:r w:rsidR="008373E0" w:rsidRPr="00021FE8">
        <w:rPr>
          <w:b/>
          <w:szCs w:val="22"/>
        </w:rPr>
        <w:t>-G-</w:t>
      </w:r>
      <w:r w:rsidR="008373E0">
        <w:rPr>
          <w:b/>
          <w:szCs w:val="22"/>
        </w:rPr>
        <w:t>25</w:t>
      </w:r>
      <w:r w:rsidR="008373E0" w:rsidRPr="00021FE8">
        <w:rPr>
          <w:b/>
          <w:szCs w:val="22"/>
        </w:rPr>
        <w:t>-</w:t>
      </w:r>
      <w:r w:rsidR="008373E0">
        <w:rPr>
          <w:b/>
          <w:szCs w:val="22"/>
        </w:rPr>
        <w:t>2.2.9.1</w:t>
      </w:r>
    </w:p>
    <w:p w14:paraId="6990F465" w14:textId="77777777" w:rsidR="00B004A0" w:rsidRPr="00B004A0" w:rsidRDefault="00B004A0" w:rsidP="00B004A0">
      <w:pPr>
        <w:autoSpaceDN/>
        <w:spacing w:after="0"/>
        <w:textAlignment w:val="auto"/>
        <w:rPr>
          <w:spacing w:val="-2"/>
        </w:rPr>
      </w:pPr>
    </w:p>
    <w:p w14:paraId="24FCFF14" w14:textId="3C4EA1E7" w:rsidR="00162F71" w:rsidRDefault="008373E0" w:rsidP="00B11B1F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="00B004A0" w:rsidRPr="00162F71">
        <w:rPr>
          <w:rFonts w:ascii="Times New Roman" w:hAnsi="Times New Roman"/>
          <w:szCs w:val="24"/>
        </w:rPr>
        <w:t xml:space="preserve"> and intends to apply part of the proceeds</w:t>
      </w:r>
      <w:r w:rsidR="00F473D0" w:rsidRPr="00162F71">
        <w:rPr>
          <w:rFonts w:ascii="Times New Roman" w:hAnsi="Times New Roman"/>
          <w:szCs w:val="24"/>
        </w:rPr>
        <w:t xml:space="preserve"> of this loan</w:t>
      </w:r>
      <w:r w:rsidR="00B004A0" w:rsidRPr="00162F71">
        <w:rPr>
          <w:rFonts w:ascii="Times New Roman" w:hAnsi="Times New Roman"/>
          <w:szCs w:val="24"/>
        </w:rPr>
        <w:t xml:space="preserve"> toward payments under the contract for </w:t>
      </w:r>
      <w:r w:rsidRPr="008373E0">
        <w:rPr>
          <w:rFonts w:ascii="Times New Roman" w:hAnsi="Times New Roman"/>
          <w:szCs w:val="24"/>
        </w:rPr>
        <w:t>Procurement of Laboratory equipment for National Seed testing laboratory and National Referent Phytosanitary Laboratory</w:t>
      </w:r>
      <w:r w:rsidR="00162F71">
        <w:rPr>
          <w:rFonts w:ascii="Times New Roman" w:hAnsi="Times New Roman"/>
          <w:szCs w:val="24"/>
        </w:rPr>
        <w:t>.</w:t>
      </w:r>
    </w:p>
    <w:p w14:paraId="53D5C807" w14:textId="1E0CC19B" w:rsidR="00EB1454" w:rsidRPr="00162F71" w:rsidRDefault="00B004A0" w:rsidP="00B11B1F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="008373E0" w:rsidRPr="008373E0">
        <w:rPr>
          <w:rFonts w:ascii="Times New Roman" w:hAnsi="Times New Roman"/>
          <w:szCs w:val="24"/>
        </w:rPr>
        <w:t>Ministry of Agriculture, Forestry and Water Management</w:t>
      </w:r>
      <w:r w:rsidR="005C60C4" w:rsidRPr="00162F71">
        <w:rPr>
          <w:rFonts w:ascii="Times New Roman" w:hAnsi="Times New Roman"/>
          <w:szCs w:val="24"/>
        </w:rPr>
        <w:t>,</w:t>
      </w:r>
      <w:r w:rsidR="00EA2AB4" w:rsidRPr="00162F71">
        <w:rPr>
          <w:rFonts w:ascii="Times New Roman" w:hAnsi="Times New Roman"/>
          <w:szCs w:val="24"/>
        </w:rPr>
        <w:t xml:space="preserve"> </w:t>
      </w:r>
      <w:r w:rsidRPr="00162F71">
        <w:rPr>
          <w:rFonts w:ascii="Times New Roman" w:hAnsi="Times New Roman"/>
          <w:szCs w:val="24"/>
        </w:rPr>
        <w:t>through Technical Service Unit (TSU)</w:t>
      </w:r>
      <w:r w:rsidR="005C60C4" w:rsidRPr="00162F71">
        <w:rPr>
          <w:rFonts w:ascii="Times New Roman" w:hAnsi="Times New Roman"/>
          <w:szCs w:val="24"/>
        </w:rPr>
        <w:t>,</w:t>
      </w:r>
      <w:r w:rsidRPr="00162F71">
        <w:rPr>
          <w:rFonts w:ascii="Times New Roman" w:hAnsi="Times New Roman"/>
          <w:szCs w:val="24"/>
        </w:rPr>
        <w:t xml:space="preserve"> now invites </w:t>
      </w:r>
      <w:r w:rsidR="00162F71"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for </w:t>
      </w:r>
      <w:r w:rsidR="00B11B1F" w:rsidRPr="00162F71">
        <w:rPr>
          <w:rFonts w:ascii="Times New Roman" w:hAnsi="Times New Roman"/>
          <w:szCs w:val="24"/>
        </w:rPr>
        <w:t xml:space="preserve">to procure </w:t>
      </w:r>
      <w:r w:rsidR="008373E0" w:rsidRPr="008373E0">
        <w:rPr>
          <w:rFonts w:ascii="Times New Roman" w:hAnsi="Times New Roman"/>
          <w:szCs w:val="24"/>
        </w:rPr>
        <w:t>Laboratory equipment for National Seed testing laboratory and National Referent Phytosanitary Laboratory</w:t>
      </w:r>
      <w:r w:rsidR="008373E0">
        <w:rPr>
          <w:rFonts w:ascii="Times New Roman" w:hAnsi="Times New Roman"/>
          <w:szCs w:val="24"/>
        </w:rPr>
        <w:t>:</w:t>
      </w:r>
      <w:r w:rsidR="008373E0" w:rsidRPr="008373E0">
        <w:rPr>
          <w:rFonts w:ascii="Times New Roman" w:hAnsi="Times New Roman"/>
          <w:szCs w:val="24"/>
        </w:rPr>
        <w:t xml:space="preserve"> Seed Dryer – Cabinet Type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Seed Germinator (Single Chamber)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Seed Moisture Analyzer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Laboratory Device for Seed Treatment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Autoclave Stereo Microscope</w:t>
      </w:r>
      <w:r w:rsidR="008373E0">
        <w:rPr>
          <w:rFonts w:ascii="Times New Roman" w:hAnsi="Times New Roman"/>
          <w:szCs w:val="24"/>
        </w:rPr>
        <w:t xml:space="preserve">, etc; </w:t>
      </w:r>
      <w:r w:rsidR="008373E0" w:rsidRPr="008373E0">
        <w:rPr>
          <w:rFonts w:ascii="Times New Roman" w:hAnsi="Times New Roman"/>
          <w:szCs w:val="24"/>
        </w:rPr>
        <w:t>Fume hood with standard safety cabinet (digester)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Laminar flow microbiological safety cabinet</w:t>
      </w:r>
      <w:r w:rsidR="008373E0">
        <w:rPr>
          <w:rFonts w:ascii="Times New Roman" w:hAnsi="Times New Roman"/>
          <w:szCs w:val="24"/>
        </w:rPr>
        <w:t xml:space="preserve">; </w:t>
      </w:r>
      <w:r w:rsidR="008373E0" w:rsidRPr="008373E0">
        <w:rPr>
          <w:rFonts w:ascii="Times New Roman" w:hAnsi="Times New Roman"/>
          <w:szCs w:val="24"/>
        </w:rPr>
        <w:t>Mini laminar flow cabinet</w:t>
      </w:r>
      <w:r w:rsidR="00B11B1F" w:rsidRPr="00162F71">
        <w:rPr>
          <w:rFonts w:ascii="Times New Roman" w:hAnsi="Times New Roman"/>
          <w:szCs w:val="24"/>
        </w:rPr>
        <w:t>.</w:t>
      </w:r>
      <w:r w:rsidR="008373E0">
        <w:rPr>
          <w:rFonts w:ascii="Times New Roman" w:hAnsi="Times New Roman"/>
          <w:szCs w:val="24"/>
        </w:rPr>
        <w:t xml:space="preserve"> </w:t>
      </w:r>
    </w:p>
    <w:p w14:paraId="0AFF6707" w14:textId="78CFAB54" w:rsidR="004A7AE3" w:rsidRPr="00EB1454" w:rsidRDefault="00DE456D" w:rsidP="00EB1454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="008373E0"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 w:rsidR="008373E0"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="008373E0"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2F3EB369" w14:textId="3ED18EF5" w:rsidR="004A7AE3" w:rsidRPr="005D056A" w:rsidRDefault="00B004A0" w:rsidP="004A7AE3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</w:t>
      </w:r>
      <w:r w:rsidR="008D2266" w:rsidRPr="005D056A">
        <w:rPr>
          <w:rFonts w:ascii="Times New Roman" w:hAnsi="Times New Roman"/>
          <w:b/>
          <w:spacing w:val="-2"/>
        </w:rPr>
        <w:t>.00</w:t>
      </w:r>
      <w:r w:rsidRPr="005D056A">
        <w:rPr>
          <w:rFonts w:ascii="Times New Roman" w:hAnsi="Times New Roman"/>
          <w:b/>
          <w:spacing w:val="-2"/>
        </w:rPr>
        <w:t>-14</w:t>
      </w:r>
      <w:r w:rsidR="008D2266" w:rsidRPr="005D056A">
        <w:rPr>
          <w:rFonts w:ascii="Times New Roman" w:hAnsi="Times New Roman"/>
          <w:b/>
          <w:spacing w:val="-2"/>
        </w:rPr>
        <w:t>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38100AAB" w14:textId="394C7248" w:rsidR="00F40D62" w:rsidRPr="00162F71" w:rsidRDefault="00F40D62" w:rsidP="00F40D62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ITQ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 w:rsidR="008373E0"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2FC4E03" w14:textId="23A86A74" w:rsidR="00162F71" w:rsidRPr="00162F71" w:rsidRDefault="00162F71" w:rsidP="004A7AE3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>Quotations</w:t>
      </w:r>
      <w:r w:rsidR="00B004A0" w:rsidRPr="00162F71">
        <w:rPr>
          <w:rFonts w:ascii="Times New Roman" w:eastAsia="Cambria" w:hAnsi="Times New Roman"/>
          <w:b/>
          <w:bCs/>
          <w:szCs w:val="24"/>
        </w:rPr>
        <w:t xml:space="preserve"> must be delivered 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</w:t>
      </w:r>
      <w:r w:rsidR="00B004A0" w:rsidRPr="00162F71">
        <w:rPr>
          <w:rFonts w:ascii="Times New Roman" w:eastAsia="Cambria" w:hAnsi="Times New Roman"/>
          <w:b/>
          <w:bCs/>
          <w:szCs w:val="24"/>
        </w:rPr>
        <w:t xml:space="preserve">at or before </w:t>
      </w:r>
      <w:r w:rsidRPr="00162F71">
        <w:rPr>
          <w:rFonts w:ascii="Times New Roman" w:eastAsia="Cambria" w:hAnsi="Times New Roman"/>
          <w:b/>
          <w:bCs/>
          <w:szCs w:val="24"/>
        </w:rPr>
        <w:t>1</w:t>
      </w:r>
      <w:r w:rsidR="005C42D2">
        <w:rPr>
          <w:rFonts w:ascii="Times New Roman" w:eastAsia="Cambria" w:hAnsi="Times New Roman"/>
          <w:b/>
          <w:bCs/>
          <w:szCs w:val="24"/>
        </w:rPr>
        <w:t>4</w:t>
      </w:r>
      <w:r w:rsidR="00B004A0" w:rsidRPr="00162F71">
        <w:rPr>
          <w:rFonts w:ascii="Times New Roman" w:eastAsia="Cambria" w:hAnsi="Times New Roman"/>
          <w:b/>
          <w:bCs/>
          <w:szCs w:val="24"/>
        </w:rPr>
        <w:t>:00</w:t>
      </w:r>
      <w:r w:rsidR="00E71EA1" w:rsidRPr="00162F71">
        <w:rPr>
          <w:rFonts w:ascii="Times New Roman" w:eastAsia="Cambria" w:hAnsi="Times New Roman"/>
          <w:b/>
          <w:bCs/>
          <w:szCs w:val="24"/>
        </w:rPr>
        <w:t xml:space="preserve">h, </w:t>
      </w:r>
      <w:r w:rsidR="00E71EA1" w:rsidRPr="00162F71">
        <w:rPr>
          <w:rFonts w:ascii="Times New Roman" w:eastAsia="Cambria" w:hAnsi="Times New Roman"/>
          <w:b/>
          <w:bCs/>
        </w:rPr>
        <w:t>l</w:t>
      </w:r>
      <w:r w:rsidR="00B004A0" w:rsidRPr="00162F71">
        <w:rPr>
          <w:rFonts w:ascii="Times New Roman" w:eastAsia="Cambria" w:hAnsi="Times New Roman"/>
          <w:b/>
          <w:bCs/>
        </w:rPr>
        <w:t>ocal</w:t>
      </w:r>
      <w:r w:rsidR="00B004A0"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8373E0">
        <w:rPr>
          <w:rFonts w:ascii="Times New Roman" w:eastAsia="Cambria" w:hAnsi="Times New Roman"/>
          <w:b/>
          <w:bCs/>
        </w:rPr>
        <w:t>May</w:t>
      </w:r>
      <w:r w:rsidR="00B11B1F" w:rsidRPr="00162F71">
        <w:rPr>
          <w:rFonts w:ascii="Times New Roman" w:eastAsia="Cambria" w:hAnsi="Times New Roman"/>
          <w:b/>
          <w:bCs/>
        </w:rPr>
        <w:t xml:space="preserve"> </w:t>
      </w:r>
      <w:r w:rsidRPr="00162F71">
        <w:rPr>
          <w:rFonts w:ascii="Times New Roman" w:eastAsia="Cambria" w:hAnsi="Times New Roman"/>
          <w:b/>
          <w:bCs/>
        </w:rPr>
        <w:t>30</w:t>
      </w:r>
      <w:r w:rsidR="00EB1454" w:rsidRPr="00162F71">
        <w:rPr>
          <w:rFonts w:ascii="Times New Roman" w:eastAsia="Cambria" w:hAnsi="Times New Roman"/>
          <w:b/>
          <w:bCs/>
        </w:rPr>
        <w:t>, 202</w:t>
      </w:r>
      <w:r w:rsidR="00065F8C">
        <w:rPr>
          <w:rFonts w:ascii="Times New Roman" w:eastAsia="Cambria" w:hAnsi="Times New Roman"/>
          <w:b/>
          <w:bCs/>
        </w:rPr>
        <w:t>5</w:t>
      </w:r>
      <w:r w:rsidR="00B004A0"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 w:rsidR="00A8611E"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5D0F91E5" w14:textId="14D276BE" w:rsidR="00B004A0" w:rsidRPr="005D056A" w:rsidRDefault="00B004A0" w:rsidP="004A7AE3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lastRenderedPageBreak/>
        <w:t xml:space="preserve">The address referred to above is: </w:t>
      </w:r>
      <w:r w:rsidR="00F40D62">
        <w:rPr>
          <w:rFonts w:ascii="Times New Roman" w:hAnsi="Times New Roman"/>
          <w:iCs/>
        </w:rPr>
        <w:t xml:space="preserve"> </w:t>
      </w:r>
    </w:p>
    <w:p w14:paraId="395CE61E" w14:textId="45FA0B15" w:rsidR="00B004A0" w:rsidRPr="005D056A" w:rsidRDefault="00B004A0" w:rsidP="004A7AE3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>ce</w:t>
      </w:r>
      <w:r w:rsidR="004A7AE3" w:rsidRPr="005D056A">
        <w:rPr>
          <w:szCs w:val="24"/>
        </w:rPr>
        <w:t xml:space="preserve"> </w:t>
      </w:r>
    </w:p>
    <w:p w14:paraId="3BF4E444" w14:textId="77777777" w:rsidR="00B004A0" w:rsidRPr="005D056A" w:rsidRDefault="00B004A0" w:rsidP="004A7AE3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3CE5D69A" w14:textId="77777777" w:rsidR="00B004A0" w:rsidRPr="005D056A" w:rsidRDefault="00B004A0" w:rsidP="004A7AE3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586699E0" w14:textId="2294BC32" w:rsidR="00B004A0" w:rsidRPr="005D056A" w:rsidRDefault="00B004A0" w:rsidP="004A7AE3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r w:rsidR="00162F71">
        <w:rPr>
          <w:szCs w:val="24"/>
        </w:rPr>
        <w:t>Stundetska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 w:rsidR="00162F71"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732A0E99" w14:textId="77777777" w:rsidR="00B004A0" w:rsidRPr="005D056A" w:rsidRDefault="00B004A0" w:rsidP="004A7AE3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2F7EF6D3" w14:textId="4A4A4ED2" w:rsidR="00B004A0" w:rsidRPr="005D056A" w:rsidRDefault="00B004A0" w:rsidP="004A7AE3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</w:t>
      </w:r>
      <w:r w:rsidR="004A7AE3" w:rsidRPr="005D056A">
        <w:rPr>
          <w:szCs w:val="24"/>
        </w:rPr>
        <w:t>5</w:t>
      </w:r>
    </w:p>
    <w:p w14:paraId="2B42F73B" w14:textId="0C2C0A17" w:rsidR="00593BC4" w:rsidRPr="00B11B1F" w:rsidRDefault="008D2266" w:rsidP="00B11B1F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sectPr w:rsidR="00593BC4" w:rsidRPr="00B11B1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BEF2" w14:textId="77777777" w:rsidR="00181CF0" w:rsidRDefault="00181CF0">
      <w:pPr>
        <w:spacing w:after="0"/>
      </w:pPr>
      <w:r>
        <w:separator/>
      </w:r>
    </w:p>
  </w:endnote>
  <w:endnote w:type="continuationSeparator" w:id="0">
    <w:p w14:paraId="6924B1D3" w14:textId="77777777" w:rsidR="00181CF0" w:rsidRDefault="00181C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8195" w14:textId="77777777" w:rsidR="00181CF0" w:rsidRDefault="00181CF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B31171A" w14:textId="77777777" w:rsidR="00181CF0" w:rsidRDefault="00181C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657649">
    <w:abstractNumId w:val="3"/>
  </w:num>
  <w:num w:numId="2" w16cid:durableId="892236421">
    <w:abstractNumId w:val="3"/>
    <w:lvlOverride w:ilvl="0">
      <w:startOverride w:val="1"/>
    </w:lvlOverride>
  </w:num>
  <w:num w:numId="3" w16cid:durableId="1450322687">
    <w:abstractNumId w:val="0"/>
  </w:num>
  <w:num w:numId="4" w16cid:durableId="1313683007">
    <w:abstractNumId w:val="4"/>
  </w:num>
  <w:num w:numId="5" w16cid:durableId="919604348">
    <w:abstractNumId w:val="1"/>
  </w:num>
  <w:num w:numId="6" w16cid:durableId="90930707">
    <w:abstractNumId w:val="2"/>
  </w:num>
  <w:num w:numId="7" w16cid:durableId="1206214246">
    <w:abstractNumId w:val="7"/>
  </w:num>
  <w:num w:numId="8" w16cid:durableId="1188178168">
    <w:abstractNumId w:val="6"/>
  </w:num>
  <w:num w:numId="9" w16cid:durableId="950168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BC4"/>
    <w:rsid w:val="00065F8C"/>
    <w:rsid w:val="00075228"/>
    <w:rsid w:val="0009690B"/>
    <w:rsid w:val="00162F71"/>
    <w:rsid w:val="00181CF0"/>
    <w:rsid w:val="00204A92"/>
    <w:rsid w:val="00270F60"/>
    <w:rsid w:val="00283E6E"/>
    <w:rsid w:val="002A2F75"/>
    <w:rsid w:val="002C6A61"/>
    <w:rsid w:val="002E1A6F"/>
    <w:rsid w:val="003626AF"/>
    <w:rsid w:val="003964FA"/>
    <w:rsid w:val="003E024F"/>
    <w:rsid w:val="004031EF"/>
    <w:rsid w:val="004112A4"/>
    <w:rsid w:val="004636A7"/>
    <w:rsid w:val="004A7AE3"/>
    <w:rsid w:val="004E1067"/>
    <w:rsid w:val="004E5C00"/>
    <w:rsid w:val="00522F83"/>
    <w:rsid w:val="00593BC4"/>
    <w:rsid w:val="005B1779"/>
    <w:rsid w:val="005C42D2"/>
    <w:rsid w:val="005C60C4"/>
    <w:rsid w:val="005D056A"/>
    <w:rsid w:val="00665238"/>
    <w:rsid w:val="00672131"/>
    <w:rsid w:val="006A2EB6"/>
    <w:rsid w:val="0078486C"/>
    <w:rsid w:val="00790056"/>
    <w:rsid w:val="007B37F8"/>
    <w:rsid w:val="007B49CB"/>
    <w:rsid w:val="008373E0"/>
    <w:rsid w:val="00871871"/>
    <w:rsid w:val="008A19BF"/>
    <w:rsid w:val="008D2266"/>
    <w:rsid w:val="008F1F94"/>
    <w:rsid w:val="008F4115"/>
    <w:rsid w:val="00961C84"/>
    <w:rsid w:val="009C592B"/>
    <w:rsid w:val="00A20F08"/>
    <w:rsid w:val="00A71CB2"/>
    <w:rsid w:val="00A8611E"/>
    <w:rsid w:val="00A945E9"/>
    <w:rsid w:val="00AF225C"/>
    <w:rsid w:val="00AF44EA"/>
    <w:rsid w:val="00B004A0"/>
    <w:rsid w:val="00B11B1F"/>
    <w:rsid w:val="00B23B6B"/>
    <w:rsid w:val="00B50ADF"/>
    <w:rsid w:val="00C6123A"/>
    <w:rsid w:val="00C91CA9"/>
    <w:rsid w:val="00CE3C9E"/>
    <w:rsid w:val="00CF0131"/>
    <w:rsid w:val="00D55936"/>
    <w:rsid w:val="00D65286"/>
    <w:rsid w:val="00DE456D"/>
    <w:rsid w:val="00E565E8"/>
    <w:rsid w:val="00E71EA1"/>
    <w:rsid w:val="00EA2AB4"/>
    <w:rsid w:val="00EB1454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Mirko Ljesevic</cp:lastModifiedBy>
  <cp:revision>20</cp:revision>
  <dcterms:created xsi:type="dcterms:W3CDTF">2021-11-19T13:10:00Z</dcterms:created>
  <dcterms:modified xsi:type="dcterms:W3CDTF">2025-05-09T11:50:00Z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